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D91920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05DC525D" w:rsidR="00505EA9" w:rsidRPr="00505EA9" w:rsidRDefault="00C452B1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505EA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 w:rsidR="004868A9"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34B0719E" w:rsidR="00505EA9" w:rsidRDefault="00C452B1" w:rsidP="000F1C42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CF61D7">
              <w:rPr>
                <w:b/>
                <w:bCs/>
              </w:rPr>
              <w:t>β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505EA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7AFF7A0A" w:rsidR="00505EA9" w:rsidRPr="00F26162" w:rsidRDefault="00C452B1" w:rsidP="000F1C42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</w:t>
            </w:r>
            <w:r w:rsidR="002B2959">
              <w:rPr>
                <w:rFonts w:ascii="Square721 Cn BT" w:eastAsiaTheme="minorEastAsia" w:hAnsi="Square721 Cn BT"/>
                <w:b/>
                <w:bCs/>
                <w:lang w:eastAsia="zh-CN"/>
              </w:rPr>
              <w:t>1399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</w:t>
            </w:r>
          </w:p>
        </w:tc>
      </w:tr>
      <w:tr w:rsidR="00505EA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505EA9" w:rsidRPr="00AC0A04" w:rsidRDefault="00D831A0" w:rsidP="000F1C42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4CF60750" w:rsidR="000D682B" w:rsidRPr="0050561F" w:rsidRDefault="005056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7106A26B" w:rsidR="000D682B" w:rsidRPr="00E76615" w:rsidRDefault="00E76615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461B96E" w:rsidR="000D682B" w:rsidRPr="00CE34B5" w:rsidRDefault="00CE34B5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1700"/>
        <w:gridCol w:w="2214"/>
        <w:gridCol w:w="2870"/>
      </w:tblGrid>
      <w:tr w:rsidR="00302DB7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2957FB29" w:rsidR="002B23DF" w:rsidRPr="006E67F6" w:rsidRDefault="0057626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220A531F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302DB7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302DB7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4CBE665E" w:rsidR="002B23DF" w:rsidRPr="006E67F6" w:rsidRDefault="002B2959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72</w:t>
            </w:r>
            <w:r w:rsidR="00A71B59">
              <w:rPr>
                <w:rFonts w:eastAsia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612A7A1B" w:rsidR="002B23DF" w:rsidRPr="006E67F6" w:rsidRDefault="00A71B59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</w:t>
            </w:r>
            <w:r w:rsidR="002B2959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302DB7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302DB7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6F96F474" w:rsidR="002B23DF" w:rsidRPr="006E67F6" w:rsidRDefault="00033061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302DB7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302DB7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302DB7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302DB7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0678CCEF" w:rsidR="002B23DF" w:rsidRPr="006E67F6" w:rsidRDefault="001073D2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D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ia</w:t>
            </w:r>
            <w:r w:rsidR="005769B6">
              <w:rPr>
                <w:rFonts w:eastAsiaTheme="minorEastAsia"/>
                <w:sz w:val="20"/>
                <w:szCs w:val="20"/>
                <w:lang w:val="en-US" w:eastAsia="zh-CN"/>
              </w:rPr>
              <w:t>6</w:t>
            </w:r>
            <w:r w:rsidR="002B2959">
              <w:rPr>
                <w:rFonts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2B2959">
              <w:rPr>
                <w:rFonts w:eastAsiaTheme="minor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033C53DE" w:rsidR="002B23DF" w:rsidRPr="00C437FC" w:rsidRDefault="00302DB7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3C6A0E1E" wp14:editId="28297CDE">
                  <wp:extent cx="1725690" cy="1244600"/>
                  <wp:effectExtent l="0" t="0" r="825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63" cy="1253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DB7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635AAE3C" w:rsidR="00DD48F5" w:rsidRPr="0007531F" w:rsidRDefault="00DD48F5">
      <w:pPr>
        <w:rPr>
          <w:rFonts w:ascii="Square721 Cn BT" w:hAnsi="Square721 Cn BT"/>
          <w:b/>
          <w:bCs/>
        </w:rPr>
      </w:pP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70A2FB7B" w:rsidR="008F55E6" w:rsidRPr="006E67F6" w:rsidRDefault="00C85F0D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28D4D7F9" w:rsidR="008F55E6" w:rsidRPr="00F84F05" w:rsidRDefault="008F55E6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26B525A7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</w:t>
            </w:r>
            <w:r w:rsidR="00302DB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463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F0537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</w:t>
            </w:r>
            <w:r w:rsidR="00302DB7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07B0EC0E" w:rsidR="0007531F" w:rsidRPr="0007531F" w:rsidRDefault="0007531F" w:rsidP="0007531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295C814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40425A18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&gt;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76E02177" w:rsidR="000025E9" w:rsidRPr="00B0666A" w:rsidRDefault="000025E9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74CA4F24" w:rsidR="00C76E6C" w:rsidRPr="00A76669" w:rsidRDefault="00C76E6C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77777777" w:rsidR="00C76E6C" w:rsidRPr="002E405E" w:rsidRDefault="00C76E6C" w:rsidP="00C76E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48CD" w14:textId="77777777" w:rsidR="00D91920" w:rsidRDefault="00D91920" w:rsidP="0036423C">
      <w:r>
        <w:separator/>
      </w:r>
    </w:p>
  </w:endnote>
  <w:endnote w:type="continuationSeparator" w:id="0">
    <w:p w14:paraId="79AAF5F1" w14:textId="77777777" w:rsidR="00D91920" w:rsidRDefault="00D91920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BBCF" w14:textId="77777777" w:rsidR="00D91920" w:rsidRDefault="00D91920" w:rsidP="0036423C">
      <w:r>
        <w:separator/>
      </w:r>
    </w:p>
  </w:footnote>
  <w:footnote w:type="continuationSeparator" w:id="0">
    <w:p w14:paraId="04B555DE" w14:textId="77777777" w:rsidR="00D91920" w:rsidRDefault="00D91920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D91920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D91920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0267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2959"/>
    <w:rsid w:val="002B5A56"/>
    <w:rsid w:val="002D165D"/>
    <w:rsid w:val="002E02A2"/>
    <w:rsid w:val="002E405E"/>
    <w:rsid w:val="002F2964"/>
    <w:rsid w:val="00302DB7"/>
    <w:rsid w:val="003050E3"/>
    <w:rsid w:val="00312118"/>
    <w:rsid w:val="00332925"/>
    <w:rsid w:val="00333DCD"/>
    <w:rsid w:val="0034038C"/>
    <w:rsid w:val="0034575D"/>
    <w:rsid w:val="003479E2"/>
    <w:rsid w:val="003636B5"/>
    <w:rsid w:val="0036423C"/>
    <w:rsid w:val="00370FB9"/>
    <w:rsid w:val="0037133C"/>
    <w:rsid w:val="00390E8D"/>
    <w:rsid w:val="003A09C3"/>
    <w:rsid w:val="003D4C9D"/>
    <w:rsid w:val="0040239C"/>
    <w:rsid w:val="004868A9"/>
    <w:rsid w:val="004904A7"/>
    <w:rsid w:val="004E2360"/>
    <w:rsid w:val="0050561F"/>
    <w:rsid w:val="00505EA9"/>
    <w:rsid w:val="00515CC1"/>
    <w:rsid w:val="00531020"/>
    <w:rsid w:val="00535A7F"/>
    <w:rsid w:val="005751F3"/>
    <w:rsid w:val="0057626E"/>
    <w:rsid w:val="005769B6"/>
    <w:rsid w:val="00582C7D"/>
    <w:rsid w:val="005F5989"/>
    <w:rsid w:val="0060719D"/>
    <w:rsid w:val="006109B0"/>
    <w:rsid w:val="0063338E"/>
    <w:rsid w:val="006A74F8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B6586"/>
    <w:rsid w:val="008F2D91"/>
    <w:rsid w:val="008F3F34"/>
    <w:rsid w:val="008F55E6"/>
    <w:rsid w:val="00905310"/>
    <w:rsid w:val="00984FA2"/>
    <w:rsid w:val="00987AC9"/>
    <w:rsid w:val="009D7B3A"/>
    <w:rsid w:val="00A20D18"/>
    <w:rsid w:val="00A256BD"/>
    <w:rsid w:val="00A42CAD"/>
    <w:rsid w:val="00A65B83"/>
    <w:rsid w:val="00A71B59"/>
    <w:rsid w:val="00A759CA"/>
    <w:rsid w:val="00A76669"/>
    <w:rsid w:val="00A9791D"/>
    <w:rsid w:val="00AA13B9"/>
    <w:rsid w:val="00AB6AD3"/>
    <w:rsid w:val="00AC0A04"/>
    <w:rsid w:val="00AC7BC3"/>
    <w:rsid w:val="00AD2DC8"/>
    <w:rsid w:val="00AF3CF8"/>
    <w:rsid w:val="00B0666A"/>
    <w:rsid w:val="00B32D95"/>
    <w:rsid w:val="00B50309"/>
    <w:rsid w:val="00BC64E9"/>
    <w:rsid w:val="00C21B58"/>
    <w:rsid w:val="00C437FC"/>
    <w:rsid w:val="00C452B1"/>
    <w:rsid w:val="00C65C7F"/>
    <w:rsid w:val="00C76E6C"/>
    <w:rsid w:val="00C85F0D"/>
    <w:rsid w:val="00CC2BE5"/>
    <w:rsid w:val="00CC5E15"/>
    <w:rsid w:val="00CE34B5"/>
    <w:rsid w:val="00CF14E2"/>
    <w:rsid w:val="00CF61D7"/>
    <w:rsid w:val="00D13246"/>
    <w:rsid w:val="00D33D3A"/>
    <w:rsid w:val="00D831A0"/>
    <w:rsid w:val="00D91920"/>
    <w:rsid w:val="00D953A3"/>
    <w:rsid w:val="00DB6C73"/>
    <w:rsid w:val="00DC5FAE"/>
    <w:rsid w:val="00DD48F5"/>
    <w:rsid w:val="00E0436A"/>
    <w:rsid w:val="00E07DEC"/>
    <w:rsid w:val="00E31660"/>
    <w:rsid w:val="00E76615"/>
    <w:rsid w:val="00E966DB"/>
    <w:rsid w:val="00EB5025"/>
    <w:rsid w:val="00EB6F4F"/>
    <w:rsid w:val="00EC37D6"/>
    <w:rsid w:val="00EC75B6"/>
    <w:rsid w:val="00ED6BC1"/>
    <w:rsid w:val="00ED6DB2"/>
    <w:rsid w:val="00EE4FF4"/>
    <w:rsid w:val="00F05375"/>
    <w:rsid w:val="00F26162"/>
    <w:rsid w:val="00F67AEB"/>
    <w:rsid w:val="00F82EF5"/>
    <w:rsid w:val="00F84F05"/>
    <w:rsid w:val="00FE20D0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36</cp:revision>
  <cp:lastPrinted>2020-12-14T09:46:00Z</cp:lastPrinted>
  <dcterms:created xsi:type="dcterms:W3CDTF">2020-12-14T10:52:00Z</dcterms:created>
  <dcterms:modified xsi:type="dcterms:W3CDTF">2021-04-27T04:23:00Z</dcterms:modified>
</cp:coreProperties>
</file>