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jc w:val="center"/>
        <w:rPr>
          <w:rFonts w:ascii="Square721 Cn BT" w:hAnsi="Square721 Cn BT"/>
          <w:b/>
          <w:bCs/>
          <w:sz w:val="32"/>
          <w:szCs w:val="32"/>
        </w:rPr>
      </w:pPr>
      <w:r>
        <w:rPr>
          <w:rFonts w:ascii="Square721 Cn BT" w:hAnsi="Square721 Cn BT"/>
          <w:b/>
          <w:bCs/>
          <w:sz w:val="32"/>
          <w:szCs w:val="32"/>
        </w:rPr>
        <w:t>Product information sheet</w:t>
      </w:r>
    </w:p>
    <w:p>
      <w:pPr>
        <w:jc w:val="center"/>
        <w:rPr>
          <w:rFonts w:ascii="Square721 Cn BT" w:hAnsi="Square721 Cn BT"/>
          <w:b/>
          <w:bCs/>
          <w:color w:val="767171" w:themeColor="background2" w:themeShade="80"/>
          <w:sz w:val="32"/>
          <w:szCs w:val="32"/>
        </w:rPr>
      </w:pPr>
      <w:r>
        <w:rPr>
          <w:rFonts w:ascii="Square721 Cn BT" w:hAnsi="Square721 Cn BT"/>
          <w:b/>
          <w:bCs/>
          <w:color w:val="767171" w:themeColor="background2" w:themeShade="80"/>
          <w:sz w:val="32"/>
          <w:szCs w:val="32"/>
        </w:rPr>
        <w:t>Produktdatenblatt</w:t>
      </w: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0"/>
        <w:gridCol w:w="5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Square721 Cn BT" w:hAnsi="Square721 Cn BT"/>
                <w:b/>
                <w:bCs/>
              </w:rPr>
            </w:pPr>
            <w:r>
              <w:rPr>
                <w:rFonts w:ascii="Square721 Cn BT" w:hAnsi="Square721 Cn BT"/>
                <w:b/>
                <w:bCs/>
              </w:rPr>
              <w:t>Supplier's name or trademark:</w:t>
            </w:r>
          </w:p>
          <w:p>
            <w:pPr>
              <w:rPr>
                <w:rFonts w:ascii="Square721 Cn BT" w:hAnsi="Square721 Cn BT"/>
                <w:b/>
                <w:bCs/>
              </w:rPr>
            </w:pPr>
            <w:r>
              <w:rPr>
                <w:rFonts w:ascii="Square721 Cn BT" w:hAnsi="Square721 Cn BT"/>
                <w:b/>
                <w:bCs/>
                <w:color w:val="767171" w:themeColor="background2" w:themeShade="80"/>
                <w:sz w:val="20"/>
                <w:szCs w:val="20"/>
              </w:rPr>
              <w:t>Name oder Handelsmarke des Lieferanden</w:t>
            </w:r>
          </w:p>
        </w:tc>
        <w:tc>
          <w:tcPr>
            <w:tcW w:w="5535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rPr>
                <w:rFonts w:ascii="Square721 Cn BT" w:hAnsi="Square721 Cn BT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quare721 Cn BT" w:hAnsi="Square721 Cn BT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GLOBO Handels GmbH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Square721 Cn BT" w:hAnsi="Square721 Cn BT"/>
                <w:b/>
                <w:bCs/>
              </w:rPr>
            </w:pPr>
            <w:r>
              <w:rPr>
                <w:rFonts w:ascii="Square721 Cn BT" w:hAnsi="Square721 Cn BT"/>
                <w:b/>
                <w:bCs/>
              </w:rPr>
              <w:t xml:space="preserve">Supplier's address: </w:t>
            </w:r>
            <w:r>
              <w:rPr>
                <w:rFonts w:ascii="Square721 Cn BT" w:hAnsi="Square721 Cn BT"/>
                <w:b/>
                <w:bCs/>
              </w:rPr>
              <w:br w:type="textWrapping"/>
            </w:r>
            <w:r>
              <w:rPr>
                <w:rFonts w:ascii="Square721 Cn BT" w:hAnsi="Square721 Cn BT"/>
                <w:b/>
                <w:bCs/>
                <w:color w:val="767171" w:themeColor="background2" w:themeShade="80"/>
                <w:sz w:val="20"/>
                <w:szCs w:val="20"/>
              </w:rPr>
              <w:t>Anschrift des Lieferanden</w:t>
            </w:r>
          </w:p>
        </w:tc>
        <w:tc>
          <w:tcPr>
            <w:tcW w:w="5535" w:type="dxa"/>
            <w:tcBorders>
              <w:left w:val="nil"/>
              <w:right w:val="nil"/>
            </w:tcBorders>
            <w:vAlign w:val="bottom"/>
          </w:tcPr>
          <w:p>
            <w:pPr>
              <w:rPr>
                <w:rFonts w:ascii="Square721 Cn BT" w:hAnsi="Square721 Cn BT"/>
                <w:b/>
                <w:bCs/>
              </w:rPr>
            </w:pPr>
            <w:r>
              <w:rPr>
                <w:rFonts w:ascii="Square721 Cn BT" w:hAnsi="Square721 Cn BT"/>
                <w:b/>
                <w:bCs/>
              </w:rPr>
              <w:t>Gewerbestra</w:t>
            </w:r>
            <w:r>
              <w:rPr>
                <w:b/>
                <w:bCs/>
              </w:rPr>
              <w:t>β</w:t>
            </w:r>
            <w:r>
              <w:rPr>
                <w:rFonts w:ascii="Square721 Cn BT" w:hAnsi="Square721 Cn BT"/>
                <w:b/>
                <w:bCs/>
              </w:rPr>
              <w:t>e 3</w:t>
            </w:r>
            <w:r>
              <w:rPr>
                <w:rFonts w:hint="eastAsia" w:ascii="Square721 Cn BT" w:hAnsi="Square721 Cn BT" w:eastAsiaTheme="minorEastAsia"/>
                <w:b/>
                <w:bCs/>
                <w:lang w:eastAsia="zh-CN"/>
              </w:rPr>
              <w:t>,</w:t>
            </w:r>
            <w:r>
              <w:rPr>
                <w:rFonts w:ascii="Square721 Cn BT" w:hAnsi="Square721 Cn BT" w:eastAsiaTheme="minorEastAsia"/>
                <w:b/>
                <w:bCs/>
                <w:lang w:eastAsia="zh-CN"/>
              </w:rPr>
              <w:t>A-</w:t>
            </w:r>
            <w:r>
              <w:rPr>
                <w:rFonts w:ascii="Square721 Cn BT" w:hAnsi="Square721 Cn BT"/>
                <w:b/>
                <w:bCs/>
              </w:rPr>
              <w:t>9184 St. Peter AUSTRIA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Square721 Cn BT" w:hAnsi="Square721 Cn BT"/>
                <w:b/>
                <w:bCs/>
              </w:rPr>
            </w:pPr>
            <w:r>
              <w:rPr>
                <w:rFonts w:ascii="Square721 Cn BT" w:hAnsi="Square721 Cn BT"/>
                <w:b/>
                <w:bCs/>
              </w:rPr>
              <w:t xml:space="preserve">Model identifier: </w:t>
            </w:r>
            <w:r>
              <w:rPr>
                <w:rFonts w:ascii="Square721 Cn BT" w:hAnsi="Square721 Cn BT"/>
                <w:b/>
                <w:bCs/>
              </w:rPr>
              <w:br w:type="textWrapping"/>
            </w:r>
            <w:r>
              <w:rPr>
                <w:rFonts w:ascii="Square721 Cn BT" w:hAnsi="Square721 Cn BT"/>
                <w:b/>
                <w:bCs/>
                <w:color w:val="767171" w:themeColor="background2" w:themeShade="80"/>
                <w:sz w:val="20"/>
                <w:szCs w:val="20"/>
              </w:rPr>
              <w:t>Modelkennung</w:t>
            </w:r>
          </w:p>
        </w:tc>
        <w:tc>
          <w:tcPr>
            <w:tcW w:w="5535" w:type="dxa"/>
            <w:tcBorders>
              <w:left w:val="nil"/>
              <w:right w:val="nil"/>
            </w:tcBorders>
            <w:vAlign w:val="bottom"/>
          </w:tcPr>
          <w:p>
            <w:pPr>
              <w:rPr>
                <w:rFonts w:ascii="Square721 Cn BT" w:hAnsi="Square721 Cn BT" w:eastAsiaTheme="minorEastAsia"/>
                <w:b/>
                <w:bCs/>
                <w:lang w:eastAsia="zh-CN"/>
              </w:rPr>
            </w:pPr>
            <w:r>
              <w:rPr>
                <w:rFonts w:ascii="Square721 Cn BT" w:hAnsi="Square721 Cn BT" w:eastAsiaTheme="minorEastAsia"/>
                <w:b/>
                <w:bCs/>
                <w:lang w:eastAsia="zh-CN"/>
              </w:rPr>
              <w:t>10583-2K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Square721 Cn BT" w:hAnsi="Square721 Cn BT"/>
                <w:b/>
                <w:bCs/>
                <w:lang w:val="en-US"/>
              </w:rPr>
            </w:pPr>
            <w:r>
              <w:rPr>
                <w:rFonts w:ascii="Square721 Cn BT" w:hAnsi="Square721 Cn BT"/>
                <w:b/>
                <w:bCs/>
                <w:lang w:val="en-US"/>
              </w:rPr>
              <w:t>Type of light source:</w:t>
            </w:r>
          </w:p>
          <w:p>
            <w:pPr>
              <w:rPr>
                <w:rFonts w:ascii="Square721 Cn BT" w:hAnsi="Square721 Cn BT"/>
                <w:b/>
                <w:bCs/>
                <w:lang w:val="en-US"/>
              </w:rPr>
            </w:pPr>
            <w:r>
              <w:rPr>
                <w:rFonts w:ascii="Square721 Cn BT" w:hAnsi="Square721 Cn BT"/>
                <w:b/>
                <w:bCs/>
                <w:color w:val="767171" w:themeColor="background2" w:themeShade="80"/>
                <w:sz w:val="20"/>
                <w:szCs w:val="20"/>
                <w:lang w:val="en-US"/>
              </w:rPr>
              <w:t>Lichtquellentyp</w:t>
            </w:r>
          </w:p>
        </w:tc>
        <w:tc>
          <w:tcPr>
            <w:tcW w:w="5535" w:type="dxa"/>
            <w:tcBorders>
              <w:left w:val="nil"/>
              <w:right w:val="nil"/>
            </w:tcBorders>
            <w:vAlign w:val="bottom"/>
          </w:tcPr>
          <w:p>
            <w:pPr>
              <w:rPr>
                <w:rFonts w:ascii="Square721 Cn BT" w:hAnsi="Square721 Cn BT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Square721 Cn BT" w:hAnsi="Square721 Cn BT" w:eastAsiaTheme="minorEastAsia"/>
                <w:b/>
                <w:bCs/>
                <w:lang w:val="en-US" w:eastAsia="zh-CN"/>
              </w:rPr>
              <w:t>L</w:t>
            </w:r>
            <w:r>
              <w:rPr>
                <w:rFonts w:ascii="Square721 Cn BT" w:hAnsi="Square721 Cn BT" w:eastAsiaTheme="minorEastAsia"/>
                <w:b/>
                <w:bCs/>
                <w:lang w:val="en-US" w:eastAsia="zh-CN"/>
              </w:rPr>
              <w:t xml:space="preserve">ED </w:t>
            </w:r>
            <w:r>
              <w:rPr>
                <w:rFonts w:hint="eastAsia" w:ascii="Square721 Cn BT" w:hAnsi="Square721 Cn BT" w:eastAsiaTheme="minorEastAsia"/>
                <w:b/>
                <w:bCs/>
                <w:lang w:val="en-US" w:eastAsia="zh-CN"/>
              </w:rPr>
              <w:t>Bu</w:t>
            </w:r>
            <w:r>
              <w:rPr>
                <w:rFonts w:ascii="Square721 Cn BT" w:hAnsi="Square721 Cn BT" w:eastAsiaTheme="minorEastAsia"/>
                <w:b/>
                <w:bCs/>
                <w:lang w:val="en-US" w:eastAsia="zh-CN"/>
              </w:rPr>
              <w:t>lb</w:t>
            </w:r>
          </w:p>
        </w:tc>
      </w:tr>
    </w:tbl>
    <w:p>
      <w:pPr>
        <w:rPr>
          <w:rFonts w:ascii="Square721 Cn BT" w:hAnsi="Square721 Cn BT"/>
          <w:b/>
          <w:bCs/>
          <w:lang w:val="en-US"/>
        </w:rPr>
      </w:pPr>
    </w:p>
    <w:p>
      <w:pPr>
        <w:rPr>
          <w:rFonts w:ascii="Square721 Cn BT" w:hAnsi="Square721 Cn BT"/>
          <w:b/>
          <w:bCs/>
          <w:color w:val="767171" w:themeColor="background2" w:themeShade="80"/>
          <w:sz w:val="21"/>
          <w:szCs w:val="21"/>
          <w:lang w:val="en-US"/>
        </w:rPr>
      </w:pPr>
    </w:p>
    <w:tbl>
      <w:tblPr>
        <w:tblStyle w:val="4"/>
        <w:tblW w:w="9600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00"/>
        <w:gridCol w:w="1700"/>
        <w:gridCol w:w="3100"/>
        <w:gridCol w:w="170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20" w:hRule="atLeast"/>
        </w:trPr>
        <w:tc>
          <w:tcPr>
            <w:tcW w:w="310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Lightning technology used 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HL / LFL T5 HE / LFL T5 HO / CFLni / other FL / HPS / MH / other HID / LED / OLED / mixed / other]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LED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Non-directional or directional: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NDLS / DLS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DLS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20" w:hRule="atLeast"/>
        </w:trPr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Verwendete Beleuchtungstechnologie: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HL / LFL T5 HE / LFL T5 HO / CFLni / sonstige FL / HPS / MH / sonstige HID / LED / OLED / gemischt / Sonstige]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 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Ungebündeltes oder gebündeltes Licht: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NDLS / DLS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0" w:hRule="atLeast"/>
        </w:trPr>
        <w:tc>
          <w:tcPr>
            <w:tcW w:w="31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Mains or non-mains: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MLS / NMLS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M</w:t>
            </w:r>
            <w:r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LS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Connected light source (CLS):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yes / 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no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0" w:hRule="atLeast"/>
        </w:trPr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Netzspannung/Nicht direkt an die Netzspannung angeschlossen: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MLS / NMLS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 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Vernetzte Lichtquelle (CLS):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ja / nein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0" w:hRule="atLeast"/>
        </w:trPr>
        <w:tc>
          <w:tcPr>
            <w:tcW w:w="31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Colour-tuneable light source: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yes / 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Envelope: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no / second / non-clear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0" w:hRule="atLeast"/>
        </w:trPr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Farblich abstimmbare Lichtquelle: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ja / nein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 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Hülle: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keine Hülle / zweite Hülle / matte Hülle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0" w:hRule="atLeast"/>
        </w:trPr>
        <w:tc>
          <w:tcPr>
            <w:tcW w:w="31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High luminance light source: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yes / 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0" w:hRule="atLeast"/>
        </w:trPr>
        <w:tc>
          <w:tcPr>
            <w:tcW w:w="31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Lichtquelle mit hoher Leuchtdichte: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color w:val="757171"/>
                <w:sz w:val="16"/>
                <w:szCs w:val="16"/>
              </w:rPr>
              <w:t>ja / nein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0" w:hRule="atLeast"/>
        </w:trPr>
        <w:tc>
          <w:tcPr>
            <w:tcW w:w="310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Anti-glare shield: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yes / 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Dimmable: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yes / only with specific dimmers / 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0" w:hRule="atLeast"/>
        </w:trPr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Blendschutzschild: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ja / nein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Dimmbar: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color w:val="757171"/>
                <w:sz w:val="16"/>
                <w:szCs w:val="16"/>
              </w:rPr>
              <w:t>j</w:t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 / nur mit bestimmten Dimmern / nein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</w:tbl>
    <w:p>
      <w:pPr>
        <w:rPr>
          <w:rFonts w:ascii="Square721 Cn BT" w:hAnsi="Square721 Cn BT"/>
          <w:b/>
          <w:bCs/>
          <w:sz w:val="21"/>
          <w:szCs w:val="21"/>
        </w:rPr>
      </w:pPr>
    </w:p>
    <w:p>
      <w:pPr>
        <w:rPr>
          <w:rFonts w:ascii="Square721 Cn BT" w:hAnsi="Square721 Cn BT"/>
          <w:b/>
          <w:bCs/>
          <w:sz w:val="21"/>
          <w:szCs w:val="21"/>
        </w:rPr>
      </w:pPr>
    </w:p>
    <w:p>
      <w:pPr>
        <w:jc w:val="center"/>
        <w:rPr>
          <w:rFonts w:ascii="Square721 Cn BT" w:hAnsi="Square721 Cn BT"/>
          <w:b/>
          <w:bCs/>
          <w:lang w:val="en-US"/>
        </w:rPr>
      </w:pPr>
      <w:r>
        <w:rPr>
          <w:rFonts w:ascii="Square721 Cn BT" w:hAnsi="Square721 Cn BT"/>
          <w:b/>
          <w:bCs/>
          <w:lang w:val="en-US"/>
        </w:rPr>
        <w:t>Product parameters</w:t>
      </w:r>
    </w:p>
    <w:p>
      <w:pPr>
        <w:jc w:val="center"/>
        <w:rPr>
          <w:rFonts w:ascii="Square721 Cn BT" w:hAnsi="Square721 Cn BT"/>
          <w:b/>
          <w:bCs/>
          <w:color w:val="767171" w:themeColor="background2" w:themeShade="80"/>
          <w:sz w:val="21"/>
          <w:szCs w:val="21"/>
          <w:lang w:val="en-US"/>
        </w:rPr>
      </w:pPr>
      <w:r>
        <w:rPr>
          <w:rFonts w:ascii="Square721 Cn BT" w:hAnsi="Square721 Cn BT"/>
          <w:b/>
          <w:bCs/>
          <w:color w:val="767171" w:themeColor="background2" w:themeShade="80"/>
          <w:sz w:val="21"/>
          <w:szCs w:val="21"/>
          <w:lang w:val="en-US"/>
        </w:rPr>
        <w:t>Produktparameter</w:t>
      </w:r>
    </w:p>
    <w:p>
      <w:pPr>
        <w:jc w:val="center"/>
        <w:rPr>
          <w:rFonts w:ascii="Square721 Cn BT" w:hAnsi="Square721 Cn BT"/>
          <w:b/>
          <w:bCs/>
          <w:color w:val="767171" w:themeColor="background2" w:themeShade="80"/>
          <w:sz w:val="13"/>
          <w:szCs w:val="13"/>
          <w:lang w:val="en-US"/>
        </w:rPr>
      </w:pPr>
    </w:p>
    <w:tbl>
      <w:tblPr>
        <w:tblStyle w:val="4"/>
        <w:tblW w:w="9600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00"/>
        <w:gridCol w:w="1700"/>
        <w:gridCol w:w="3100"/>
        <w:gridCol w:w="170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0" w:hRule="atLeast"/>
        </w:trPr>
        <w:tc>
          <w:tcPr>
            <w:tcW w:w="31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0" w:hRule="atLeast"/>
        </w:trPr>
        <w:tc>
          <w:tcPr>
            <w:tcW w:w="3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Parameter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Parameter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</w:p>
        </w:tc>
      </w:tr>
    </w:tbl>
    <w:p>
      <w:pPr>
        <w:rPr>
          <w:rFonts w:ascii="Square721 Cn BT" w:hAnsi="Square721 Cn BT"/>
          <w:b/>
          <w:bCs/>
          <w:sz w:val="6"/>
          <w:szCs w:val="6"/>
        </w:rPr>
      </w:pPr>
    </w:p>
    <w:p>
      <w:pPr>
        <w:rPr>
          <w:rFonts w:ascii="Square721 Cn BT" w:hAnsi="Square721 Cn BT"/>
          <w:b/>
          <w:bCs/>
        </w:rPr>
      </w:pPr>
    </w:p>
    <w:p>
      <w:pPr>
        <w:jc w:val="center"/>
        <w:rPr>
          <w:rFonts w:ascii="Square721 Cn BT" w:hAnsi="Square721 Cn BT"/>
          <w:b/>
          <w:bCs/>
          <w:lang w:val="en-US"/>
        </w:rPr>
      </w:pPr>
      <w:r>
        <w:rPr>
          <w:rFonts w:ascii="Square721 Cn BT" w:hAnsi="Square721 Cn BT"/>
          <w:b/>
          <w:bCs/>
          <w:lang w:val="en-US"/>
        </w:rPr>
        <w:t>General product parameters</w:t>
      </w:r>
    </w:p>
    <w:p>
      <w:pPr>
        <w:jc w:val="center"/>
        <w:rPr>
          <w:rFonts w:ascii="Square721 Cn BT" w:hAnsi="Square721 Cn BT"/>
          <w:b/>
          <w:bCs/>
          <w:color w:val="767171" w:themeColor="background2" w:themeShade="80"/>
          <w:sz w:val="21"/>
          <w:szCs w:val="21"/>
          <w:lang w:val="en-US"/>
        </w:rPr>
      </w:pPr>
      <w:r>
        <w:rPr>
          <w:rFonts w:ascii="Square721 Cn BT" w:hAnsi="Square721 Cn BT"/>
          <w:b/>
          <w:bCs/>
          <w:color w:val="767171" w:themeColor="background2" w:themeShade="80"/>
          <w:sz w:val="21"/>
          <w:szCs w:val="21"/>
          <w:lang w:val="en-US"/>
        </w:rPr>
        <w:t>Allgemeine Produktparameter</w:t>
      </w:r>
    </w:p>
    <w:p>
      <w:pPr>
        <w:jc w:val="center"/>
        <w:rPr>
          <w:rFonts w:ascii="Square721 Cn BT" w:hAnsi="Square721 Cn BT"/>
          <w:b/>
          <w:bCs/>
          <w:color w:val="767171" w:themeColor="background2" w:themeShade="80"/>
          <w:sz w:val="13"/>
          <w:szCs w:val="13"/>
          <w:lang w:val="en-US"/>
        </w:rPr>
      </w:pPr>
    </w:p>
    <w:tbl>
      <w:tblPr>
        <w:tblStyle w:val="4"/>
        <w:tblW w:w="9600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18"/>
        <w:gridCol w:w="1700"/>
        <w:gridCol w:w="2292"/>
        <w:gridCol w:w="269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20" w:hRule="atLeast"/>
        </w:trPr>
        <w:tc>
          <w:tcPr>
            <w:tcW w:w="3100" w:type="dxa"/>
            <w:tcBorders>
              <w:top w:val="single" w:color="000000" w:sz="4" w:space="0"/>
              <w:left w:val="nil"/>
              <w:bottom w:val="nil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Energy consumption in on-mode (kWh/1000 h)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Rounded to the whole number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auto" w:sz="2" w:space="0"/>
              <w:bottom w:val="nil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auto" w:sz="2" w:space="0"/>
              <w:bottom w:val="nil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Energy efficiency class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A / B / C / D / E / F / G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auto" w:sz="2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F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20" w:hRule="atLeast"/>
        </w:trPr>
        <w:tc>
          <w:tcPr>
            <w:tcW w:w="3100" w:type="dxa"/>
            <w:tcBorders>
              <w:top w:val="nil"/>
              <w:left w:val="nil"/>
              <w:bottom w:val="single" w:color="000000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Energieverbrauch im Ein-Zustand (kWh/1000h)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ganze Zahl gerundet</w:t>
            </w:r>
          </w:p>
        </w:tc>
        <w:tc>
          <w:tcPr>
            <w:tcW w:w="1700" w:type="dxa"/>
            <w:tcBorders>
              <w:top w:val="nil"/>
              <w:left w:val="single" w:color="auto" w:sz="2" w:space="0"/>
              <w:bottom w:val="single" w:color="000000" w:sz="4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color="auto" w:sz="2" w:space="0"/>
              <w:bottom w:val="single" w:color="000000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757171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Energieeffizienzklasse</w:t>
            </w:r>
            <w:r>
              <w:rPr>
                <w:rFonts w:ascii="Calibri" w:hAnsi="Calibri"/>
                <w:color w:val="757171"/>
                <w:sz w:val="20"/>
                <w:szCs w:val="20"/>
              </w:rPr>
              <w:br w:type="textWrapping"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 / B / C / D / E / F / G</w:t>
            </w:r>
          </w:p>
        </w:tc>
        <w:tc>
          <w:tcPr>
            <w:tcW w:w="2370" w:type="dxa"/>
            <w:tcBorders>
              <w:top w:val="nil"/>
              <w:left w:val="single" w:color="auto" w:sz="2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80" w:hRule="atLeast"/>
        </w:trPr>
        <w:tc>
          <w:tcPr>
            <w:tcW w:w="3100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Useful luminous flux (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Φ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bscript"/>
                <w:lang w:val="en-US"/>
              </w:rPr>
              <w:t>use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indicating if it refers to the flux in a sphere (360°), in a wide cone (120°) or in a narrow cone (90°)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Rounded to the whole number in sphere / wide cone /narrow cone</w:t>
            </w:r>
          </w:p>
        </w:tc>
        <w:tc>
          <w:tcPr>
            <w:tcW w:w="1700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eastAsiaTheme="minorEastAsia"/>
                <w:sz w:val="20"/>
                <w:szCs w:val="20"/>
                <w:lang w:val="en-US" w:eastAsia="zh-CN"/>
              </w:rPr>
              <w:t>00</w:t>
            </w:r>
          </w:p>
        </w:tc>
        <w:tc>
          <w:tcPr>
            <w:tcW w:w="2430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Correlated colour temperature,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Rounded to the nearest 100 K, or the range of correlated colour temperatures (rounded to the nearest 100 K, that can be)</w:t>
            </w:r>
          </w:p>
        </w:tc>
        <w:tc>
          <w:tcPr>
            <w:tcW w:w="2370" w:type="dxa"/>
            <w:tcBorders>
              <w:top w:val="nil"/>
              <w:left w:val="single" w:color="auto" w:sz="2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000K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80" w:hRule="atLeast"/>
        </w:trPr>
        <w:tc>
          <w:tcPr>
            <w:tcW w:w="3100" w:type="dxa"/>
            <w:tcBorders>
              <w:top w:val="nil"/>
              <w:left w:val="nil"/>
              <w:bottom w:val="single" w:color="000000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Nutzlichtstrom (Φ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  <w:vertAlign w:val="subscript"/>
              </w:rPr>
              <w:t>use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)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color w:val="757171"/>
                <w:sz w:val="16"/>
                <w:szCs w:val="16"/>
              </w:rPr>
              <w:t>Mit der Angabe, ob sich der Wert auf den Lichtstrom in einer Kugel (360°), in einem breiten Kegel (120°) oder in einem schmalen Kegel (90°) bezieht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ganze Zahl gerundet in Kugel / breitem Kegel / schmalem Kegel]</w:t>
            </w:r>
          </w:p>
        </w:tc>
        <w:tc>
          <w:tcPr>
            <w:tcW w:w="1700" w:type="dxa"/>
            <w:tcBorders>
              <w:top w:val="nil"/>
              <w:left w:val="single" w:color="auto" w:sz="2" w:space="0"/>
              <w:bottom w:val="single" w:color="000000" w:sz="4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single" w:color="auto" w:sz="2" w:space="0"/>
              <w:bottom w:val="single" w:color="000000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 xml:space="preserve">Ähnliche Farbtemperatur, 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Gerundet auf die nächstliegenden 100 K, oder Spanne der einstellbaren ähnlichen Farbtemperaturen (gerundet auf die nächstliegenden 100 K)</w:t>
            </w:r>
          </w:p>
        </w:tc>
        <w:tc>
          <w:tcPr>
            <w:tcW w:w="2370" w:type="dxa"/>
            <w:tcBorders>
              <w:top w:val="nil"/>
              <w:left w:val="single" w:color="auto" w:sz="2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20" w:hRule="atLeast"/>
        </w:trPr>
        <w:tc>
          <w:tcPr>
            <w:tcW w:w="3100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On-mode power (P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bscript"/>
                <w:lang w:val="en-US"/>
              </w:rPr>
              <w:t>on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expressed in W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Rounded to the first decimal</w:t>
            </w:r>
          </w:p>
        </w:tc>
        <w:tc>
          <w:tcPr>
            <w:tcW w:w="1700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430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Standby power (P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bscript"/>
                <w:lang w:val="en-US"/>
              </w:rPr>
              <w:t>sb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expressed in W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Rounded to the second decimal</w:t>
            </w:r>
          </w:p>
        </w:tc>
        <w:tc>
          <w:tcPr>
            <w:tcW w:w="2370" w:type="dxa"/>
            <w:tcBorders>
              <w:top w:val="nil"/>
              <w:left w:val="single" w:color="auto" w:sz="2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40" w:hRule="atLeast"/>
        </w:trPr>
        <w:tc>
          <w:tcPr>
            <w:tcW w:w="3100" w:type="dxa"/>
            <w:tcBorders>
              <w:top w:val="nil"/>
              <w:left w:val="nil"/>
              <w:bottom w:val="single" w:color="000000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Leistungsaufnahme im Ein-Zustand (P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  <w:vertAlign w:val="subscript"/>
              </w:rPr>
              <w:t>on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) in W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erste Dezimale gerundet</w:t>
            </w:r>
          </w:p>
        </w:tc>
        <w:tc>
          <w:tcPr>
            <w:tcW w:w="1700" w:type="dxa"/>
            <w:tcBorders>
              <w:top w:val="nil"/>
              <w:left w:val="single" w:color="auto" w:sz="2" w:space="0"/>
              <w:bottom w:val="single" w:color="000000" w:sz="4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Leistungsaufnahme im Bereitschaftszustand (P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  <w:vertAlign w:val="subscript"/>
              </w:rPr>
              <w:t>sb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) in W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color w:val="757171"/>
                <w:sz w:val="16"/>
                <w:szCs w:val="16"/>
              </w:rPr>
              <w:t>A</w:t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uf die zweite Dezimale gerundet</w:t>
            </w:r>
          </w:p>
        </w:tc>
        <w:tc>
          <w:tcPr>
            <w:tcW w:w="2370" w:type="dxa"/>
            <w:tcBorders>
              <w:top w:val="nil"/>
              <w:left w:val="single" w:color="auto" w:sz="2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20" w:hRule="atLeast"/>
        </w:trPr>
        <w:tc>
          <w:tcPr>
            <w:tcW w:w="3100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Networked standby power (P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bscript"/>
                <w:lang w:val="en-US"/>
              </w:rPr>
              <w:t>net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) for CLS, expressed in W 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Rounded to the second decimal</w:t>
            </w:r>
          </w:p>
        </w:tc>
        <w:tc>
          <w:tcPr>
            <w:tcW w:w="1700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auto" w:sz="2" w:space="0"/>
              <w:bottom w:val="nil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Colour rendering index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Rounded to the nearest integer, or the range of CRI-values that can be set</w:t>
            </w:r>
          </w:p>
        </w:tc>
        <w:tc>
          <w:tcPr>
            <w:tcW w:w="2370" w:type="dxa"/>
            <w:tcBorders>
              <w:top w:val="nil"/>
              <w:left w:val="single" w:color="auto" w:sz="2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20" w:hRule="atLeast"/>
        </w:trPr>
        <w:tc>
          <w:tcPr>
            <w:tcW w:w="3100" w:type="dxa"/>
            <w:tcBorders>
              <w:top w:val="nil"/>
              <w:left w:val="nil"/>
              <w:bottom w:val="single" w:color="000000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Leistungsaufnahme im vernetzten Bereitschaftsbetrieb (P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  <w:vertAlign w:val="subscript"/>
              </w:rPr>
              <w:t>net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) in W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color w:val="757171"/>
                <w:sz w:val="16"/>
                <w:szCs w:val="16"/>
              </w:rPr>
              <w:t>A</w:t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uf die zweite Dezimale gerundet</w:t>
            </w:r>
          </w:p>
        </w:tc>
        <w:tc>
          <w:tcPr>
            <w:tcW w:w="1700" w:type="dxa"/>
            <w:tcBorders>
              <w:top w:val="nil"/>
              <w:left w:val="single" w:color="auto" w:sz="2" w:space="0"/>
              <w:bottom w:val="single" w:color="000000" w:sz="4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single" w:color="auto" w:sz="2" w:space="0"/>
              <w:bottom w:val="single" w:color="000000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Farbwiedergabeindex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nächstliegende ganze Zahl gerundet, oder Spanne der einstellbaren CRI-Werte</w:t>
            </w:r>
          </w:p>
        </w:tc>
        <w:tc>
          <w:tcPr>
            <w:tcW w:w="2370" w:type="dxa"/>
            <w:tcBorders>
              <w:top w:val="nil"/>
              <w:left w:val="single" w:color="auto" w:sz="2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0" w:hRule="atLeast"/>
        </w:trPr>
        <w:tc>
          <w:tcPr>
            <w:tcW w:w="3100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Outer dimensions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(millimetre, W×D×H)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Without separate control gear, lighting control parts and non-lighting control parts, if any </w:t>
            </w:r>
          </w:p>
        </w:tc>
        <w:tc>
          <w:tcPr>
            <w:tcW w:w="1700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D</w:t>
            </w:r>
            <w:r>
              <w:rPr>
                <w:rFonts w:eastAsiaTheme="minorEastAsia"/>
                <w:sz w:val="20"/>
                <w:szCs w:val="20"/>
                <w:lang w:val="en-US" w:eastAsia="zh-CN"/>
              </w:rPr>
              <w:t>ia35x98</w:t>
            </w:r>
          </w:p>
        </w:tc>
        <w:tc>
          <w:tcPr>
            <w:tcW w:w="2430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Spectral power distribution in the range 250 nm to 800 nm, at full-load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[graphic]</w:t>
            </w:r>
          </w:p>
        </w:tc>
        <w:tc>
          <w:tcPr>
            <w:tcW w:w="2370" w:type="dxa"/>
            <w:tcBorders>
              <w:top w:val="nil"/>
              <w:left w:val="single" w:color="auto" w:sz="2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drawing>
                <wp:inline distT="0" distB="0" distL="0" distR="0">
                  <wp:extent cx="1609725" cy="11874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91" cy="119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0" w:hRule="atLeast"/>
        </w:trPr>
        <w:tc>
          <w:tcPr>
            <w:tcW w:w="3100" w:type="dxa"/>
            <w:tcBorders>
              <w:top w:val="nil"/>
              <w:left w:val="nil"/>
              <w:bottom w:val="single" w:color="000000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 xml:space="preserve">Äußere Abmessungen 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(in mm, B×T×H)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Ggf. ohne separates Betriebsgerät, Beleuchtungssteuerungsteile und Nicht-Beleuchtungsteile</w:t>
            </w:r>
          </w:p>
        </w:tc>
        <w:tc>
          <w:tcPr>
            <w:tcW w:w="1700" w:type="dxa"/>
            <w:tcBorders>
              <w:top w:val="nil"/>
              <w:left w:val="single" w:color="auto" w:sz="2" w:space="0"/>
              <w:bottom w:val="single" w:color="000000" w:sz="4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single" w:color="auto" w:sz="2" w:space="0"/>
              <w:bottom w:val="single" w:color="000000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Spektrale Strahlungsverteilung im Bereich 250 nm bis 800 nm bei Volllast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[Graph]</w:t>
            </w:r>
          </w:p>
        </w:tc>
        <w:tc>
          <w:tcPr>
            <w:tcW w:w="2370" w:type="dxa"/>
            <w:tcBorders>
              <w:top w:val="nil"/>
              <w:left w:val="single" w:color="auto" w:sz="2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</w:tbl>
    <w:p>
      <w:pPr>
        <w:rPr>
          <w:rFonts w:ascii="Square721 Cn BT" w:hAnsi="Square721 Cn BT"/>
          <w:b/>
          <w:bCs/>
        </w:rPr>
      </w:pPr>
      <w:r>
        <w:rPr>
          <w:rFonts w:ascii="Square721 Cn BT" w:hAnsi="Square721 Cn BT"/>
          <w:b/>
          <w:bCs/>
        </w:rPr>
        <w:br w:type="page"/>
      </w: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tbl>
      <w:tblPr>
        <w:tblStyle w:val="4"/>
        <w:tblW w:w="9600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00"/>
        <w:gridCol w:w="1200"/>
        <w:gridCol w:w="500"/>
        <w:gridCol w:w="3100"/>
        <w:gridCol w:w="170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20" w:hRule="atLeast"/>
        </w:trPr>
        <w:tc>
          <w:tcPr>
            <w:tcW w:w="3100" w:type="dxa"/>
            <w:tcBorders>
              <w:top w:val="single" w:color="auto" w:sz="2" w:space="0"/>
              <w:left w:val="nil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Claim of equivalent power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[yes / -]</w:t>
            </w:r>
          </w:p>
        </w:tc>
        <w:tc>
          <w:tcPr>
            <w:tcW w:w="170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HAnsi" w:hAnsiTheme="minorHAns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3100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If yes, equivalent power (W)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Rounded to the whole number</w:t>
            </w: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.a.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0" w:hRule="atLeast"/>
        </w:trPr>
        <w:tc>
          <w:tcPr>
            <w:tcW w:w="3100" w:type="dxa"/>
            <w:tcBorders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 xml:space="preserve">Angabe, ob äquivalente Leistungsaufnahme 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[ja / -]</w:t>
            </w:r>
          </w:p>
        </w:tc>
        <w:tc>
          <w:tcPr>
            <w:tcW w:w="1700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3100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Falls ja, Wert der äquivalenten Leistungsaufnahme (W)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ganze Zahl gerundet</w:t>
            </w:r>
          </w:p>
        </w:tc>
        <w:tc>
          <w:tcPr>
            <w:tcW w:w="1700" w:type="dxa"/>
            <w:tcBorders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0" w:hRule="atLeast"/>
        </w:trPr>
        <w:tc>
          <w:tcPr>
            <w:tcW w:w="3100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Chromaticity coordinates (x and y)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Rounded to the third decimal</w:t>
            </w: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0.440,0.403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0" w:hRule="atLeast"/>
        </w:trPr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single" w:color="auto" w:sz="2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Farbwertanteile (x und y)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dritte Dezimale gerundet</w:t>
            </w:r>
          </w:p>
        </w:tc>
        <w:tc>
          <w:tcPr>
            <w:tcW w:w="1700" w:type="dxa"/>
            <w:tcBorders>
              <w:top w:val="nil"/>
              <w:left w:val="single" w:color="auto" w:sz="2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</w:tbl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jc w:val="center"/>
        <w:rPr>
          <w:rFonts w:ascii="Square721 Cn BT" w:hAnsi="Square721 Cn BT"/>
          <w:b/>
          <w:bCs/>
          <w:lang w:val="en-US"/>
        </w:rPr>
      </w:pPr>
      <w:r>
        <w:rPr>
          <w:rFonts w:ascii="Square721 Cn BT" w:hAnsi="Square721 Cn BT"/>
          <w:b/>
          <w:bCs/>
          <w:lang w:val="en-US"/>
        </w:rPr>
        <w:t>Parameters for directional light sources</w:t>
      </w:r>
    </w:p>
    <w:p>
      <w:pPr>
        <w:jc w:val="center"/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</w:pPr>
      <w:r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  <w:t>Parameter für Lichtquellen mit gebündeltem Licht</w:t>
      </w:r>
    </w:p>
    <w:p>
      <w:pPr>
        <w:rPr>
          <w:rFonts w:ascii="Square721 Cn BT" w:hAnsi="Square721 Cn BT"/>
          <w:b/>
          <w:bCs/>
          <w:sz w:val="13"/>
          <w:szCs w:val="13"/>
        </w:rPr>
      </w:pPr>
    </w:p>
    <w:tbl>
      <w:tblPr>
        <w:tblStyle w:val="4"/>
        <w:tblW w:w="9600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00"/>
        <w:gridCol w:w="1700"/>
        <w:gridCol w:w="3100"/>
        <w:gridCol w:w="170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0" w:hRule="atLeast"/>
        </w:trPr>
        <w:tc>
          <w:tcPr>
            <w:tcW w:w="31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Peak luminous intensity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Rounded to the whole number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alibri" w:hAnsi="Calibri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.a.</w:t>
            </w:r>
          </w:p>
        </w:tc>
        <w:tc>
          <w:tcPr>
            <w:tcW w:w="31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Beam angle in degrees or the range of beam angles that can be set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Calibri" w:hAnsi="Calibri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 xml:space="preserve">  n.a.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0" w:hRule="atLeast"/>
        </w:trPr>
        <w:tc>
          <w:tcPr>
            <w:tcW w:w="3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Spitzenlichtstärke 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ganze Zahl gerundet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67171" w:themeColor="background2" w:themeShade="80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Halbwertswinkel in Grad oder Spanne der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einstellbaren Halbwertswinkel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Calibri" w:hAnsi="Calibri"/>
                <w:color w:val="767171" w:themeColor="background2" w:themeShade="80"/>
                <w:sz w:val="16"/>
                <w:szCs w:val="16"/>
              </w:rPr>
            </w:pPr>
            <w:r>
              <w:rPr>
                <w:rFonts w:ascii="Calibri" w:hAnsi="Calibri"/>
                <w:color w:val="767171" w:themeColor="background2" w:themeShade="80"/>
                <w:sz w:val="16"/>
                <w:szCs w:val="16"/>
              </w:rPr>
              <w:t> </w:t>
            </w:r>
          </w:p>
        </w:tc>
      </w:tr>
    </w:tbl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jc w:val="center"/>
        <w:rPr>
          <w:rFonts w:ascii="Square721 Cn BT" w:hAnsi="Square721 Cn BT"/>
          <w:b/>
          <w:bCs/>
          <w:lang w:val="en-US"/>
        </w:rPr>
      </w:pPr>
      <w:r>
        <w:rPr>
          <w:rFonts w:ascii="Square721 Cn BT" w:hAnsi="Square721 Cn BT"/>
          <w:b/>
          <w:bCs/>
          <w:lang w:val="en-US"/>
        </w:rPr>
        <w:t>Parameters for LED and OLED light sources:</w:t>
      </w:r>
    </w:p>
    <w:p>
      <w:pPr>
        <w:jc w:val="center"/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</w:pPr>
      <w:r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  <w:t>Parameter für LED und OLED-Lichtquellen</w:t>
      </w:r>
    </w:p>
    <w:p>
      <w:pPr>
        <w:rPr>
          <w:rFonts w:ascii="Square721 Cn BT" w:hAnsi="Square721 Cn BT"/>
          <w:b/>
          <w:bCs/>
          <w:sz w:val="13"/>
          <w:szCs w:val="13"/>
        </w:rPr>
      </w:pPr>
    </w:p>
    <w:tbl>
      <w:tblPr>
        <w:tblStyle w:val="4"/>
        <w:tblW w:w="9600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00"/>
        <w:gridCol w:w="1700"/>
        <w:gridCol w:w="3100"/>
        <w:gridCol w:w="170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0" w:hRule="atLeast"/>
        </w:trPr>
        <w:tc>
          <w:tcPr>
            <w:tcW w:w="31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R9 colour rendering index value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Rounded to the whole number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31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Survival factor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Rounded to the second decimal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.9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0" w:hRule="atLeast"/>
        </w:trPr>
        <w:tc>
          <w:tcPr>
            <w:tcW w:w="3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Wert des R9-Farbwiedergabeindex;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ganze Zahl gerundet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Lebensdauerfaktor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zweite Dezimale gerundet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0" w:hRule="atLeast"/>
        </w:trPr>
        <w:tc>
          <w:tcPr>
            <w:tcW w:w="31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the lumen maintenance factor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Rounded to the second decimal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.9311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0" w:hRule="atLeast"/>
        </w:trPr>
        <w:tc>
          <w:tcPr>
            <w:tcW w:w="3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bCs/>
                <w:color w:val="757171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Lichtstromerhalt</w:t>
            </w:r>
            <w:r>
              <w:rPr>
                <w:rFonts w:ascii="Calibri" w:hAnsi="Calibri"/>
                <w:b/>
                <w:bCs/>
                <w:color w:val="757171"/>
                <w:sz w:val="20"/>
                <w:szCs w:val="20"/>
              </w:rPr>
              <w:br w:type="textWrapping"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zweite Dezimale gerundet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Calibri" w:hAnsi="Calibri"/>
                <w:color w:val="757171"/>
                <w:sz w:val="20"/>
                <w:szCs w:val="20"/>
              </w:rPr>
            </w:pPr>
            <w:r>
              <w:rPr>
                <w:rFonts w:ascii="Calibri" w:hAnsi="Calibri"/>
                <w:color w:val="75717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20"/>
                <w:szCs w:val="20"/>
              </w:rPr>
            </w:pPr>
          </w:p>
        </w:tc>
      </w:tr>
    </w:tbl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jc w:val="center"/>
        <w:rPr>
          <w:rFonts w:ascii="Square721 Cn BT" w:hAnsi="Square721 Cn BT"/>
          <w:b/>
          <w:bCs/>
          <w:lang w:val="en-US"/>
        </w:rPr>
      </w:pPr>
      <w:r>
        <w:rPr>
          <w:rFonts w:ascii="Square721 Cn BT" w:hAnsi="Square721 Cn BT"/>
          <w:b/>
          <w:bCs/>
          <w:lang w:val="en-US"/>
        </w:rPr>
        <w:t>Parameters for LED and OLED mains light sources:</w:t>
      </w:r>
    </w:p>
    <w:p>
      <w:pPr>
        <w:jc w:val="center"/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</w:pPr>
      <w:r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  <w:t>Parameter fu</w:t>
      </w:r>
      <w:r>
        <w:rPr>
          <w:rFonts w:ascii="Arial" w:hAnsi="Arial" w:cs="Arial"/>
          <w:b/>
          <w:bCs/>
          <w:color w:val="767171" w:themeColor="background2" w:themeShade="80"/>
          <w:sz w:val="21"/>
          <w:szCs w:val="21"/>
        </w:rPr>
        <w:t>̈</w:t>
      </w:r>
      <w:r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  <w:t>r LED- und OLED-Netzspannungslichtquellen</w:t>
      </w:r>
    </w:p>
    <w:p>
      <w:pPr>
        <w:rPr>
          <w:rFonts w:ascii="Square721 Cn BT" w:hAnsi="Square721 Cn BT"/>
          <w:b/>
          <w:bCs/>
          <w:sz w:val="13"/>
          <w:szCs w:val="13"/>
        </w:rPr>
      </w:pPr>
    </w:p>
    <w:tbl>
      <w:tblPr>
        <w:tblStyle w:val="4"/>
        <w:tblW w:w="9500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00"/>
        <w:gridCol w:w="1600"/>
        <w:gridCol w:w="3100"/>
        <w:gridCol w:w="170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0" w:hRule="atLeast"/>
        </w:trPr>
        <w:tc>
          <w:tcPr>
            <w:tcW w:w="3100" w:type="dxa"/>
            <w:tcBorders>
              <w:top w:val="single" w:color="auto" w:sz="2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displacement factor (cos φ1)</w:t>
            </w:r>
          </w:p>
        </w:tc>
        <w:tc>
          <w:tcPr>
            <w:tcW w:w="1600" w:type="dxa"/>
            <w:tcBorders>
              <w:top w:val="single" w:color="auto" w:sz="2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0.5</w:t>
            </w:r>
            <w:bookmarkStart w:id="0" w:name="_GoBack"/>
            <w:bookmarkEnd w:id="0"/>
          </w:p>
        </w:tc>
        <w:tc>
          <w:tcPr>
            <w:tcW w:w="3100" w:type="dxa"/>
            <w:tcBorders>
              <w:top w:val="single" w:color="auto" w:sz="2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Colour consistency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in McAdam ellipses</w:t>
            </w:r>
          </w:p>
        </w:tc>
        <w:tc>
          <w:tcPr>
            <w:tcW w:w="1700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0" w:hRule="atLeast"/>
        </w:trPr>
        <w:tc>
          <w:tcPr>
            <w:tcW w:w="3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Verschiebungsfaktor (cos φ1)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Farbkonsistenz in MacAdam-Ellipsen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</w:tbl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  <w:r>
        <w:rPr>
          <w:rFonts w:ascii="Square721 Cn BT" w:hAnsi="Square721 Cn BT"/>
          <w:b/>
          <w:bCs/>
        </w:rPr>
        <w:br w:type="page"/>
      </w: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tbl>
      <w:tblPr>
        <w:tblStyle w:val="4"/>
        <w:tblW w:w="9500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00"/>
        <w:gridCol w:w="1600"/>
        <w:gridCol w:w="3100"/>
        <w:gridCol w:w="170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40" w:hRule="atLeast"/>
        </w:trPr>
        <w:tc>
          <w:tcPr>
            <w:tcW w:w="3100" w:type="dxa"/>
            <w:tcBorders>
              <w:top w:val="single" w:color="auto" w:sz="2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Claims that an LED light source replaces a fluorescent light source without integrated ballast of a particular wattage.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[yes / -] </w:t>
            </w:r>
          </w:p>
        </w:tc>
        <w:tc>
          <w:tcPr>
            <w:tcW w:w="1600" w:type="dxa"/>
            <w:tcBorders>
              <w:top w:val="single" w:color="auto" w:sz="2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Theme="minorEastAsia"/>
                <w:color w:val="000000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3100" w:type="dxa"/>
            <w:tcBorders>
              <w:top w:val="single" w:color="auto" w:sz="2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If yes, then replacement claim (W)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Rounded to the whole number</w:t>
            </w:r>
          </w:p>
        </w:tc>
        <w:tc>
          <w:tcPr>
            <w:tcW w:w="1700" w:type="dxa"/>
            <w:tcBorders>
              <w:top w:val="single" w:color="auto" w:sz="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alibri" w:hAnsi="Calibri" w:eastAsia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ascii="Calibri" w:hAnsi="Calibri" w:eastAsia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  <w:t>.a.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0" w:hRule="atLeast"/>
        </w:trPr>
        <w:tc>
          <w:tcPr>
            <w:tcW w:w="3100" w:type="dxa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Angabe, ob eine LED-Lichtquelle eine Leuchtstofflichtquelle ohne eingebautes Vorschaltgerät mit einer bestimmten Leistungsaufnahme ersetzt.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[ja / -]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color="auto" w:sz="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Falls ja, Wert der ersetzten Leistung (W)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ganze Zahl gerundet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0" w:hRule="atLeast"/>
        </w:trPr>
        <w:tc>
          <w:tcPr>
            <w:tcW w:w="3100" w:type="dxa"/>
            <w:tcBorders>
              <w:top w:val="single" w:color="auto" w:sz="2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Flicker metric (PstLM)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 w:type="textWrapping"/>
            </w:r>
          </w:p>
        </w:tc>
        <w:tc>
          <w:tcPr>
            <w:tcW w:w="1600" w:type="dxa"/>
            <w:tcBorders>
              <w:top w:val="single" w:color="auto" w:sz="2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Theme="minor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100" w:type="dxa"/>
            <w:tcBorders>
              <w:top w:val="single" w:color="auto" w:sz="2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Stroboscopic effect metric (SVM)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 w:type="textWrapping"/>
            </w:r>
            <w:r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Rounded to the second decimal</w:t>
            </w:r>
          </w:p>
        </w:tc>
        <w:tc>
          <w:tcPr>
            <w:tcW w:w="1700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  <w:t>.4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0" w:hRule="atLeast"/>
        </w:trPr>
        <w:tc>
          <w:tcPr>
            <w:tcW w:w="3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Flimmer-Messgröße (Pst LM)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br w:type="textWrapping"/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Messgröße für Stroboskop-Effekte (SVM)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br w:type="textWrapping"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erste Dezimale gerundet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</w:tbl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  <w:b/>
          <w:bCs/>
        </w:rPr>
      </w:pPr>
    </w:p>
    <w:p>
      <w:pPr>
        <w:rPr>
          <w:rFonts w:ascii="Square721 Cn BT" w:hAnsi="Square721 Cn BT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quare721 Cn BT">
    <w:altName w:val="Calibri"/>
    <w:panose1 w:val="00000000000000000000"/>
    <w:charset w:val="00"/>
    <w:family w:val="swiss"/>
    <w:pitch w:val="default"/>
    <w:sig w:usb0="00000000" w:usb1="00000000" w:usb2="00000000" w:usb3="00000000" w:csb0="0000001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1347595541"/>
      <w:docPartObj>
        <w:docPartGallery w:val="AutoText"/>
      </w:docPartObj>
    </w:sdtPr>
    <w:sdtEndPr>
      <w:rPr>
        <w:rStyle w:val="7"/>
      </w:rPr>
    </w:sdtEndPr>
    <w:sdtContent>
      <w:p>
        <w:pPr>
          <w:pStyle w:val="2"/>
          <w:framePr w:wrap="around" w:vAnchor="text" w:hAnchor="margin" w:xAlign="right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separate"/>
        </w:r>
        <w:r>
          <w:rPr>
            <w:rStyle w:val="7"/>
          </w:rPr>
          <w:t>4</w:t>
        </w:r>
        <w:r>
          <w:rPr>
            <w:rStyle w:val="7"/>
          </w:rPr>
          <w:fldChar w:fldCharType="end"/>
        </w:r>
      </w:p>
    </w:sdtContent>
  </w:sdt>
  <w:p>
    <w:pPr>
      <w:pStyle w:val="2"/>
      <w:ind w:right="360"/>
      <w:jc w:val="right"/>
      <w:rPr>
        <w:rFonts w:ascii="Square721 Cn BT" w:hAnsi="Square721 Cn BT"/>
        <w:b/>
        <w:bCs/>
        <w:color w:val="FFFFFF" w:themeColor="background1"/>
        <w14:textFill>
          <w14:solidFill>
            <w14:schemeClr w14:val="bg1"/>
          </w14:solidFill>
        </w14:textFill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2003850637"/>
      <w:docPartObj>
        <w:docPartGallery w:val="AutoText"/>
      </w:docPartObj>
    </w:sdtPr>
    <w:sdtEndPr>
      <w:rPr>
        <w:rStyle w:val="7"/>
      </w:rPr>
    </w:sdtEndPr>
    <w:sdtContent>
      <w:p>
        <w:pPr>
          <w:pStyle w:val="2"/>
          <w:framePr w:wrap="around" w:vAnchor="text" w:hAnchor="margin" w:xAlign="right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end"/>
        </w:r>
      </w:p>
    </w:sdtContent>
  </w:sdt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576580" cy="46355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30" cy="491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20201635" o:spid="_x0000_s2051" o:spt="75" type="#_x0000_t75" style="position:absolute;left:0pt;height:877pt;width:620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Unbenannt-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20201634" o:spid="_x0000_s2049" o:spt="75" type="#_x0000_t75" style="position:absolute;left:0pt;height:877pt;width:620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Unbenannt-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 w:val="1"/>
  <w:bordersDoNotSurroundHeader w:val="1"/>
  <w:bordersDoNotSurroundFooter w:val="1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EA"/>
    <w:rsid w:val="000025E9"/>
    <w:rsid w:val="00015A0C"/>
    <w:rsid w:val="000214B4"/>
    <w:rsid w:val="00035AF4"/>
    <w:rsid w:val="000445E5"/>
    <w:rsid w:val="00065383"/>
    <w:rsid w:val="0007531F"/>
    <w:rsid w:val="00085CB5"/>
    <w:rsid w:val="00090231"/>
    <w:rsid w:val="000C76C4"/>
    <w:rsid w:val="000D682B"/>
    <w:rsid w:val="000E4254"/>
    <w:rsid w:val="000F1C42"/>
    <w:rsid w:val="000F53F2"/>
    <w:rsid w:val="00105404"/>
    <w:rsid w:val="00106993"/>
    <w:rsid w:val="001073D2"/>
    <w:rsid w:val="0011210A"/>
    <w:rsid w:val="00112A63"/>
    <w:rsid w:val="00156D12"/>
    <w:rsid w:val="00167572"/>
    <w:rsid w:val="00182B15"/>
    <w:rsid w:val="001856B2"/>
    <w:rsid w:val="00190789"/>
    <w:rsid w:val="00195B5F"/>
    <w:rsid w:val="002477F6"/>
    <w:rsid w:val="002525F4"/>
    <w:rsid w:val="00263A87"/>
    <w:rsid w:val="002666EF"/>
    <w:rsid w:val="0027570E"/>
    <w:rsid w:val="00275886"/>
    <w:rsid w:val="00287EFC"/>
    <w:rsid w:val="002B23DF"/>
    <w:rsid w:val="002D165D"/>
    <w:rsid w:val="002E02A2"/>
    <w:rsid w:val="002E405E"/>
    <w:rsid w:val="002F2964"/>
    <w:rsid w:val="003050E3"/>
    <w:rsid w:val="00312118"/>
    <w:rsid w:val="00332925"/>
    <w:rsid w:val="00333DCD"/>
    <w:rsid w:val="0034038C"/>
    <w:rsid w:val="0034575D"/>
    <w:rsid w:val="003479E2"/>
    <w:rsid w:val="0036423C"/>
    <w:rsid w:val="00370FB9"/>
    <w:rsid w:val="00390E8D"/>
    <w:rsid w:val="003A09C3"/>
    <w:rsid w:val="003D4C9D"/>
    <w:rsid w:val="0040239C"/>
    <w:rsid w:val="004868A9"/>
    <w:rsid w:val="004904A7"/>
    <w:rsid w:val="004E2360"/>
    <w:rsid w:val="00505EA9"/>
    <w:rsid w:val="00515CC1"/>
    <w:rsid w:val="00531020"/>
    <w:rsid w:val="00535A7F"/>
    <w:rsid w:val="005F5989"/>
    <w:rsid w:val="0060719D"/>
    <w:rsid w:val="0063338E"/>
    <w:rsid w:val="006E26EA"/>
    <w:rsid w:val="006E52B6"/>
    <w:rsid w:val="006E67F6"/>
    <w:rsid w:val="007119A6"/>
    <w:rsid w:val="0079755B"/>
    <w:rsid w:val="007A47A2"/>
    <w:rsid w:val="007A4C1E"/>
    <w:rsid w:val="007A756F"/>
    <w:rsid w:val="007E4D7D"/>
    <w:rsid w:val="0081507E"/>
    <w:rsid w:val="00836D9F"/>
    <w:rsid w:val="0084461F"/>
    <w:rsid w:val="0085321C"/>
    <w:rsid w:val="0086260B"/>
    <w:rsid w:val="00886F1B"/>
    <w:rsid w:val="008B3EF2"/>
    <w:rsid w:val="008B6586"/>
    <w:rsid w:val="008F2D91"/>
    <w:rsid w:val="008F3F34"/>
    <w:rsid w:val="008F55E6"/>
    <w:rsid w:val="00905310"/>
    <w:rsid w:val="00984FA2"/>
    <w:rsid w:val="00987AC9"/>
    <w:rsid w:val="00A20D18"/>
    <w:rsid w:val="00A256BD"/>
    <w:rsid w:val="00A65B83"/>
    <w:rsid w:val="00A67E72"/>
    <w:rsid w:val="00A759CA"/>
    <w:rsid w:val="00A76669"/>
    <w:rsid w:val="00A9791D"/>
    <w:rsid w:val="00AA13B9"/>
    <w:rsid w:val="00AB6AD3"/>
    <w:rsid w:val="00AC0A04"/>
    <w:rsid w:val="00AC7BC3"/>
    <w:rsid w:val="00AD2DC8"/>
    <w:rsid w:val="00AF3CF8"/>
    <w:rsid w:val="00B0666A"/>
    <w:rsid w:val="00B32D95"/>
    <w:rsid w:val="00C21B58"/>
    <w:rsid w:val="00C437FC"/>
    <w:rsid w:val="00C65C7F"/>
    <w:rsid w:val="00C76E6C"/>
    <w:rsid w:val="00C85F0D"/>
    <w:rsid w:val="00CC2BE5"/>
    <w:rsid w:val="00CC5E15"/>
    <w:rsid w:val="00CE34B5"/>
    <w:rsid w:val="00D13246"/>
    <w:rsid w:val="00D33D3A"/>
    <w:rsid w:val="00D670D1"/>
    <w:rsid w:val="00D831A0"/>
    <w:rsid w:val="00D953A3"/>
    <w:rsid w:val="00DB6C73"/>
    <w:rsid w:val="00DC5FAE"/>
    <w:rsid w:val="00DD48F5"/>
    <w:rsid w:val="00E0436A"/>
    <w:rsid w:val="00E07DEC"/>
    <w:rsid w:val="00E31660"/>
    <w:rsid w:val="00E44B24"/>
    <w:rsid w:val="00E966DB"/>
    <w:rsid w:val="00EB5025"/>
    <w:rsid w:val="00EB6F4F"/>
    <w:rsid w:val="00EC37D6"/>
    <w:rsid w:val="00EC75B6"/>
    <w:rsid w:val="00ED6BC1"/>
    <w:rsid w:val="00ED6DB2"/>
    <w:rsid w:val="00EE4FF4"/>
    <w:rsid w:val="00F26162"/>
    <w:rsid w:val="00F67AEB"/>
    <w:rsid w:val="00F82EF5"/>
    <w:rsid w:val="00F84F05"/>
    <w:rsid w:val="00FE266B"/>
    <w:rsid w:val="00FE3120"/>
    <w:rsid w:val="00FF3E6A"/>
    <w:rsid w:val="705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de-DE" w:eastAsia="de-DE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lang w:eastAsia="en-US"/>
    </w:rPr>
  </w:style>
  <w:style w:type="paragraph" w:styleId="3">
    <w:name w:val="header"/>
    <w:basedOn w:val="1"/>
    <w:link w:val="9"/>
    <w:unhideWhenUsed/>
    <w:uiPriority w:val="99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lang w:eastAsia="en-US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semiHidden/>
    <w:unhideWhenUsed/>
    <w:uiPriority w:val="99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uiPriority w:val="99"/>
  </w:style>
  <w:style w:type="character" w:customStyle="1" w:styleId="10">
    <w:name w:val="页脚 字符"/>
    <w:basedOn w:val="6"/>
    <w:link w:val="2"/>
    <w:uiPriority w:val="99"/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B55118-448A-436C-A7BD-C576DA7C16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852</Words>
  <Characters>4859</Characters>
  <Lines>40</Lines>
  <Paragraphs>11</Paragraphs>
  <TotalTime>84</TotalTime>
  <ScaleCrop>false</ScaleCrop>
  <LinksUpToDate>false</LinksUpToDate>
  <CharactersWithSpaces>5700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2020-12-14T10:52:00Z</dcterms:created>
  <dc:creator>Leon Schneider (NCC-Design GmbH // E-Commerce)</dc:creator>
  <cp:lastModifiedBy>明</cp:lastModifiedBy>
  <cp:lastPrinted>2020-12-14T09:46:00Z</cp:lastPrinted>
  <dcterms:modified xsi:type="dcterms:W3CDTF">2021-05-27T08:19:19Z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